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57" w:rsidRPr="00CB3750" w:rsidRDefault="00283C31" w:rsidP="00F97F57">
      <w:pPr>
        <w:jc w:val="center"/>
        <w:rPr>
          <w:rFonts w:ascii="Arial" w:hAnsi="Arial" w:cs="TimesNewRomanPSMT"/>
          <w:b/>
          <w:bCs/>
          <w:sz w:val="32"/>
          <w:lang w:bidi="en-US"/>
        </w:rPr>
      </w:pPr>
      <w:r w:rsidRPr="00CB3750">
        <w:rPr>
          <w:rFonts w:ascii="Arial" w:hAnsi="Arial" w:cs="TimesNewRomanPSMT"/>
          <w:b/>
          <w:bCs/>
          <w:sz w:val="32"/>
          <w:lang w:bidi="en-US"/>
        </w:rPr>
        <w:t>Mobile Apps Reviews</w:t>
      </w:r>
    </w:p>
    <w:p w:rsidR="00F97F57" w:rsidRPr="00CB3750" w:rsidRDefault="00283C31">
      <w:pPr>
        <w:rPr>
          <w:rFonts w:ascii="Arial" w:hAnsi="Arial" w:cs="TimesNewRomanPSMT"/>
          <w:b/>
          <w:bCs/>
          <w:lang w:bidi="en-US"/>
        </w:rPr>
      </w:pPr>
    </w:p>
    <w:p w:rsidR="00F97F57" w:rsidRPr="00053272" w:rsidRDefault="00283C31" w:rsidP="00F97F5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NewRomanPSMT"/>
          <w:lang w:bidi="en-US"/>
        </w:rPr>
      </w:pPr>
    </w:p>
    <w:p w:rsidR="00F97F57" w:rsidRPr="00CB3750" w:rsidRDefault="00283C31" w:rsidP="00F97F5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TimesNewRomanPSMT"/>
          <w:b/>
          <w:bCs/>
          <w:lang w:bidi="en-US"/>
        </w:rPr>
      </w:pPr>
      <w:r w:rsidRPr="00053272">
        <w:rPr>
          <w:rFonts w:cs="TimesNewRomanPSMT"/>
          <w:lang w:bidi="en-US"/>
        </w:rPr>
        <w:t>Students will have access to mobile devices pre-loaded with appropriate apps for learning. Each student is expected to identify 1 mobile device application per Stage (1 point each) that offers support for learners with cognitive or la</w:t>
      </w:r>
      <w:r w:rsidRPr="00053272">
        <w:rPr>
          <w:rFonts w:cs="TimesNewRomanPSMT"/>
          <w:lang w:bidi="en-US"/>
        </w:rPr>
        <w:t>nguage challenge. Use this template called “</w:t>
      </w:r>
      <w:r w:rsidRPr="00D71FFD">
        <w:rPr>
          <w:rFonts w:cs="TimesNewRomanPSMT"/>
          <w:lang w:bidi="en-US"/>
        </w:rPr>
        <w:t xml:space="preserve">Mobile Apps Reviews </w:t>
      </w:r>
      <w:r w:rsidRPr="00053272">
        <w:rPr>
          <w:rFonts w:cs="TimesNewRomanPSMT"/>
          <w:lang w:bidi="en-US"/>
        </w:rPr>
        <w:t>.doc” provided on the class wiki.  Upload your file saved as yourname.doc to email called “Mobile Apps Reviews”</w:t>
      </w:r>
      <w:r>
        <w:rPr>
          <w:rFonts w:cs="TimesNewRomanPSMT"/>
          <w:lang w:bidi="en-US"/>
        </w:rPr>
        <w:t>.</w:t>
      </w:r>
      <w:r w:rsidRPr="00CB3750">
        <w:rPr>
          <w:rFonts w:ascii="Arial" w:hAnsi="Arial" w:cs="TimesNewRomanPSMT"/>
          <w:b/>
          <w:bCs/>
          <w:lang w:bidi="en-US"/>
        </w:rPr>
        <w:t xml:space="preserve"> </w:t>
      </w:r>
    </w:p>
    <w:p w:rsidR="00F97F57" w:rsidRPr="00CB3750" w:rsidRDefault="00283C31">
      <w:pPr>
        <w:rPr>
          <w:rFonts w:ascii="Arial" w:hAnsi="Arial" w:cs="TimesNewRomanPSMT"/>
          <w:b/>
          <w:bCs/>
          <w:lang w:bidi="en-US"/>
        </w:rPr>
      </w:pPr>
    </w:p>
    <w:p w:rsidR="00F97F57" w:rsidRPr="00CB3750" w:rsidRDefault="00283C31">
      <w:pPr>
        <w:rPr>
          <w:rFonts w:ascii="Arial" w:hAnsi="Arial" w:cs="TimesNewRomanPSMT"/>
          <w:b/>
          <w:bCs/>
          <w:lang w:bidi="en-US"/>
        </w:rPr>
      </w:pPr>
    </w:p>
    <w:p w:rsidR="00F97F57" w:rsidRPr="00CB3750" w:rsidRDefault="00283C31">
      <w:pPr>
        <w:rPr>
          <w:rFonts w:ascii="Arial" w:hAnsi="Arial" w:cs="TimesNewRomanPSMT"/>
          <w:b/>
          <w:bCs/>
          <w:lang w:bidi="en-US"/>
        </w:rPr>
      </w:pPr>
    </w:p>
    <w:tbl>
      <w:tblPr>
        <w:tblStyle w:val="TableGrid"/>
        <w:tblW w:w="0" w:type="auto"/>
        <w:tblLook w:val="00BF"/>
      </w:tblPr>
      <w:tblGrid>
        <w:gridCol w:w="949"/>
        <w:gridCol w:w="2869"/>
        <w:gridCol w:w="3500"/>
        <w:gridCol w:w="1243"/>
        <w:gridCol w:w="4615"/>
      </w:tblGrid>
      <w:tr w:rsidR="00F97F57" w:rsidRPr="00CB3750">
        <w:tc>
          <w:tcPr>
            <w:tcW w:w="948" w:type="dxa"/>
          </w:tcPr>
          <w:p w:rsidR="00F97F57" w:rsidRPr="00CB3750" w:rsidRDefault="00283C31" w:rsidP="00F97F57">
            <w:pPr>
              <w:jc w:val="right"/>
              <w:rPr>
                <w:sz w:val="28"/>
              </w:rPr>
            </w:pPr>
            <w:r w:rsidRPr="00CB3750">
              <w:rPr>
                <w:rFonts w:ascii="Arial" w:hAnsi="Arial"/>
                <w:sz w:val="28"/>
              </w:rPr>
              <w:t>Stage</w:t>
            </w:r>
          </w:p>
        </w:tc>
        <w:tc>
          <w:tcPr>
            <w:tcW w:w="2940" w:type="dxa"/>
          </w:tcPr>
          <w:p w:rsidR="00F97F57" w:rsidRPr="00CB3750" w:rsidRDefault="00283C31">
            <w:pPr>
              <w:rPr>
                <w:sz w:val="28"/>
              </w:rPr>
            </w:pPr>
            <w:r w:rsidRPr="00CB3750">
              <w:rPr>
                <w:rFonts w:ascii="Arial" w:hAnsi="Arial"/>
                <w:sz w:val="28"/>
              </w:rPr>
              <w:t>Title</w:t>
            </w:r>
          </w:p>
        </w:tc>
        <w:tc>
          <w:tcPr>
            <w:tcW w:w="3600" w:type="dxa"/>
          </w:tcPr>
          <w:p w:rsidR="00F97F57" w:rsidRPr="00CB3750" w:rsidRDefault="00283C31">
            <w:pPr>
              <w:rPr>
                <w:sz w:val="28"/>
              </w:rPr>
            </w:pPr>
            <w:r w:rsidRPr="00CB3750">
              <w:rPr>
                <w:rFonts w:ascii="Arial" w:hAnsi="Arial"/>
                <w:sz w:val="28"/>
              </w:rPr>
              <w:t>Publisher</w:t>
            </w:r>
          </w:p>
        </w:tc>
        <w:tc>
          <w:tcPr>
            <w:tcW w:w="990" w:type="dxa"/>
          </w:tcPr>
          <w:p w:rsidR="00F97F57" w:rsidRPr="00CB3750" w:rsidRDefault="00283C31">
            <w:pPr>
              <w:rPr>
                <w:sz w:val="28"/>
              </w:rPr>
            </w:pPr>
            <w:r w:rsidRPr="00CB3750">
              <w:rPr>
                <w:rFonts w:ascii="Arial" w:hAnsi="Arial"/>
                <w:sz w:val="28"/>
              </w:rPr>
              <w:t>Cost</w:t>
            </w:r>
          </w:p>
        </w:tc>
        <w:tc>
          <w:tcPr>
            <w:tcW w:w="4698" w:type="dxa"/>
          </w:tcPr>
          <w:p w:rsidR="00F97F57" w:rsidRPr="00CB3750" w:rsidRDefault="00283C31">
            <w:pPr>
              <w:rPr>
                <w:sz w:val="28"/>
              </w:rPr>
            </w:pPr>
            <w:r w:rsidRPr="00CB3750">
              <w:rPr>
                <w:rFonts w:ascii="Arial" w:hAnsi="Arial"/>
                <w:sz w:val="28"/>
              </w:rPr>
              <w:t>Rationale/Description</w:t>
            </w:r>
          </w:p>
        </w:tc>
      </w:tr>
      <w:tr w:rsidR="00F97F57" w:rsidRPr="00CB3750">
        <w:tc>
          <w:tcPr>
            <w:tcW w:w="948" w:type="dxa"/>
          </w:tcPr>
          <w:p w:rsidR="00F97F57" w:rsidRPr="00CB3750" w:rsidRDefault="00283C31" w:rsidP="00F97F57">
            <w:pPr>
              <w:jc w:val="center"/>
              <w:rPr>
                <w:rFonts w:ascii="Arial" w:hAnsi="Arial"/>
                <w:sz w:val="28"/>
              </w:rPr>
            </w:pPr>
            <w:r w:rsidRPr="00CB3750">
              <w:rPr>
                <w:rFonts w:ascii="Arial" w:hAnsi="Arial"/>
                <w:sz w:val="28"/>
              </w:rPr>
              <w:t>1</w:t>
            </w:r>
          </w:p>
          <w:p w:rsidR="00F97F57" w:rsidRPr="00CB3750" w:rsidRDefault="00283C31" w:rsidP="00F97F57">
            <w:pPr>
              <w:jc w:val="center"/>
              <w:rPr>
                <w:sz w:val="28"/>
              </w:rPr>
            </w:pPr>
          </w:p>
        </w:tc>
        <w:tc>
          <w:tcPr>
            <w:tcW w:w="2940" w:type="dxa"/>
          </w:tcPr>
          <w:p w:rsidR="00F97F57" w:rsidRPr="00CB3750" w:rsidRDefault="00283C31">
            <w:hyperlink r:id="rId4" w:history="1">
              <w:r w:rsidRPr="00283C31">
                <w:rPr>
                  <w:rStyle w:val="Hyperlink"/>
                </w:rPr>
                <w:t>Slide t</w:t>
              </w:r>
              <w:r w:rsidRPr="00283C31">
                <w:rPr>
                  <w:rStyle w:val="Hyperlink"/>
                </w:rPr>
                <w:t>o</w:t>
              </w:r>
              <w:r w:rsidRPr="00283C31">
                <w:rPr>
                  <w:rStyle w:val="Hyperlink"/>
                </w:rPr>
                <w:t xml:space="preserve"> Unlock</w:t>
              </w:r>
            </w:hyperlink>
          </w:p>
        </w:tc>
        <w:tc>
          <w:tcPr>
            <w:tcW w:w="3600" w:type="dxa"/>
          </w:tcPr>
          <w:p w:rsidR="00F97F57" w:rsidRPr="00CB3750" w:rsidRDefault="00283C31">
            <w:r>
              <w:t>RJ Cooper</w:t>
            </w:r>
          </w:p>
        </w:tc>
        <w:tc>
          <w:tcPr>
            <w:tcW w:w="990" w:type="dxa"/>
          </w:tcPr>
          <w:p w:rsidR="00F97F57" w:rsidRPr="00CB3750" w:rsidRDefault="00283C31">
            <w:r>
              <w:t>$4.99</w:t>
            </w:r>
          </w:p>
        </w:tc>
        <w:tc>
          <w:tcPr>
            <w:tcW w:w="4698" w:type="dxa"/>
          </w:tcPr>
          <w:p w:rsidR="00F97F57" w:rsidRPr="00CB3750" w:rsidRDefault="00283C31">
            <w:r>
              <w:t xml:space="preserve">Teaches “slide to unlock” skills on the </w:t>
            </w:r>
            <w:proofErr w:type="spellStart"/>
            <w:r>
              <w:t>ipad</w:t>
            </w:r>
            <w:proofErr w:type="spellEnd"/>
            <w:r>
              <w:t>.  Customizable background and # of practice opportunities, many practice opportunities, target changes, multiple gestures (such as slide or slide and hold)</w:t>
            </w:r>
          </w:p>
        </w:tc>
      </w:tr>
      <w:tr w:rsidR="00F97F57" w:rsidRPr="00CB3750">
        <w:tc>
          <w:tcPr>
            <w:tcW w:w="948" w:type="dxa"/>
          </w:tcPr>
          <w:p w:rsidR="00F97F57" w:rsidRPr="00CB3750" w:rsidRDefault="00283C31" w:rsidP="00F97F57">
            <w:pPr>
              <w:jc w:val="center"/>
              <w:rPr>
                <w:rFonts w:ascii="Arial" w:hAnsi="Arial"/>
                <w:sz w:val="28"/>
              </w:rPr>
            </w:pPr>
            <w:r w:rsidRPr="00CB3750">
              <w:rPr>
                <w:rFonts w:ascii="Arial" w:hAnsi="Arial"/>
                <w:sz w:val="28"/>
              </w:rPr>
              <w:t>2</w:t>
            </w:r>
          </w:p>
          <w:p w:rsidR="00F97F57" w:rsidRPr="00CB3750" w:rsidRDefault="00283C31" w:rsidP="00F97F57">
            <w:pPr>
              <w:jc w:val="center"/>
              <w:rPr>
                <w:sz w:val="28"/>
              </w:rPr>
            </w:pPr>
          </w:p>
        </w:tc>
        <w:tc>
          <w:tcPr>
            <w:tcW w:w="2940" w:type="dxa"/>
          </w:tcPr>
          <w:p w:rsidR="00F97F57" w:rsidRDefault="00283C31">
            <w:hyperlink r:id="rId5" w:history="1">
              <w:proofErr w:type="spellStart"/>
              <w:r w:rsidRPr="00283C31">
                <w:rPr>
                  <w:rStyle w:val="Hyperlink"/>
                </w:rPr>
                <w:t>Grill</w:t>
              </w:r>
              <w:r w:rsidRPr="00283C31">
                <w:rPr>
                  <w:rStyle w:val="Hyperlink"/>
                </w:rPr>
                <w:t>m</w:t>
              </w:r>
              <w:r w:rsidRPr="00283C31">
                <w:rPr>
                  <w:rStyle w:val="Hyperlink"/>
                </w:rPr>
                <w:t>eister</w:t>
              </w:r>
              <w:proofErr w:type="spellEnd"/>
            </w:hyperlink>
          </w:p>
          <w:p w:rsidR="00283C31" w:rsidRPr="00CB3750" w:rsidRDefault="00283C31"/>
        </w:tc>
        <w:tc>
          <w:tcPr>
            <w:tcW w:w="3600" w:type="dxa"/>
          </w:tcPr>
          <w:p w:rsidR="00F97F57" w:rsidRPr="00CB3750" w:rsidRDefault="00283C31">
            <w:proofErr w:type="spellStart"/>
            <w:r>
              <w:t>Equinux</w:t>
            </w:r>
            <w:proofErr w:type="spellEnd"/>
          </w:p>
        </w:tc>
        <w:tc>
          <w:tcPr>
            <w:tcW w:w="990" w:type="dxa"/>
          </w:tcPr>
          <w:p w:rsidR="00F97F57" w:rsidRPr="00CB3750" w:rsidRDefault="00283C31">
            <w:r>
              <w:t>$.99</w:t>
            </w:r>
          </w:p>
        </w:tc>
        <w:tc>
          <w:tcPr>
            <w:tcW w:w="4698" w:type="dxa"/>
          </w:tcPr>
          <w:p w:rsidR="00F97F57" w:rsidRPr="00CB3750" w:rsidRDefault="00283C31">
            <w:r>
              <w:t xml:space="preserve">Grill meat and corn on a grill as you practice sliding your finger across the </w:t>
            </w:r>
            <w:proofErr w:type="spellStart"/>
            <w:r>
              <w:t>ipad</w:t>
            </w:r>
            <w:proofErr w:type="spellEnd"/>
            <w:r>
              <w:t>.  Cause and effect, pretend play.</w:t>
            </w:r>
          </w:p>
        </w:tc>
      </w:tr>
      <w:tr w:rsidR="00F97F57" w:rsidRPr="00CB3750">
        <w:tc>
          <w:tcPr>
            <w:tcW w:w="948" w:type="dxa"/>
          </w:tcPr>
          <w:p w:rsidR="00F97F57" w:rsidRPr="00CB3750" w:rsidRDefault="00283C31" w:rsidP="00F97F57">
            <w:pPr>
              <w:jc w:val="center"/>
              <w:rPr>
                <w:rFonts w:ascii="Arial" w:hAnsi="Arial"/>
                <w:sz w:val="28"/>
              </w:rPr>
            </w:pPr>
            <w:r w:rsidRPr="00CB3750">
              <w:rPr>
                <w:rFonts w:ascii="Arial" w:hAnsi="Arial"/>
                <w:sz w:val="28"/>
              </w:rPr>
              <w:t>3</w:t>
            </w:r>
          </w:p>
          <w:p w:rsidR="00F97F57" w:rsidRPr="00CB3750" w:rsidRDefault="00283C31" w:rsidP="00F97F57">
            <w:pPr>
              <w:jc w:val="center"/>
              <w:rPr>
                <w:sz w:val="28"/>
              </w:rPr>
            </w:pPr>
          </w:p>
        </w:tc>
        <w:tc>
          <w:tcPr>
            <w:tcW w:w="2940" w:type="dxa"/>
          </w:tcPr>
          <w:p w:rsidR="00F97F57" w:rsidRPr="00CB3750" w:rsidRDefault="00283C31">
            <w:hyperlink r:id="rId6" w:history="1">
              <w:r w:rsidRPr="00283C31">
                <w:rPr>
                  <w:rStyle w:val="Hyperlink"/>
                </w:rPr>
                <w:t>Let’s Na</w:t>
              </w:r>
              <w:r w:rsidRPr="00283C31">
                <w:rPr>
                  <w:rStyle w:val="Hyperlink"/>
                </w:rPr>
                <w:t>m</w:t>
              </w:r>
              <w:r w:rsidRPr="00283C31">
                <w:rPr>
                  <w:rStyle w:val="Hyperlink"/>
                </w:rPr>
                <w:t>e Things</w:t>
              </w:r>
            </w:hyperlink>
          </w:p>
        </w:tc>
        <w:tc>
          <w:tcPr>
            <w:tcW w:w="3600" w:type="dxa"/>
          </w:tcPr>
          <w:p w:rsidR="00F97F57" w:rsidRPr="00CB3750" w:rsidRDefault="00283C31" w:rsidP="00283C31">
            <w:r>
              <w:t>Super Duper Publications</w:t>
            </w:r>
          </w:p>
        </w:tc>
        <w:tc>
          <w:tcPr>
            <w:tcW w:w="990" w:type="dxa"/>
          </w:tcPr>
          <w:p w:rsidR="00F97F57" w:rsidRPr="00CB3750" w:rsidRDefault="00283C31">
            <w:r>
              <w:t>Free</w:t>
            </w:r>
          </w:p>
        </w:tc>
        <w:tc>
          <w:tcPr>
            <w:tcW w:w="4698" w:type="dxa"/>
          </w:tcPr>
          <w:p w:rsidR="00F97F57" w:rsidRPr="00CB3750" w:rsidRDefault="00283C31">
            <w:r>
              <w:t>“Super Duper Fun Deck” in which you name categories as you are shown a visual “card”; has audio prompting, tracks data, tracks various users</w:t>
            </w:r>
          </w:p>
        </w:tc>
      </w:tr>
      <w:tr w:rsidR="00F97F57" w:rsidRPr="00CB3750">
        <w:tc>
          <w:tcPr>
            <w:tcW w:w="948" w:type="dxa"/>
          </w:tcPr>
          <w:p w:rsidR="00F97F57" w:rsidRPr="00CB3750" w:rsidRDefault="00283C31" w:rsidP="00F97F57">
            <w:pPr>
              <w:jc w:val="center"/>
              <w:rPr>
                <w:rFonts w:ascii="Arial" w:hAnsi="Arial"/>
                <w:sz w:val="28"/>
              </w:rPr>
            </w:pPr>
            <w:r w:rsidRPr="00CB3750">
              <w:rPr>
                <w:rFonts w:ascii="Arial" w:hAnsi="Arial"/>
                <w:sz w:val="28"/>
              </w:rPr>
              <w:t>4</w:t>
            </w:r>
          </w:p>
          <w:p w:rsidR="00F97F57" w:rsidRPr="00CB3750" w:rsidRDefault="00283C31" w:rsidP="00F97F57">
            <w:pPr>
              <w:jc w:val="center"/>
              <w:rPr>
                <w:sz w:val="28"/>
              </w:rPr>
            </w:pPr>
          </w:p>
        </w:tc>
        <w:tc>
          <w:tcPr>
            <w:tcW w:w="2940" w:type="dxa"/>
          </w:tcPr>
          <w:p w:rsidR="00F97F57" w:rsidRPr="00CB3750" w:rsidRDefault="00283C31">
            <w:hyperlink r:id="rId7" w:history="1">
              <w:r w:rsidRPr="00283C31">
                <w:rPr>
                  <w:rStyle w:val="Hyperlink"/>
                </w:rPr>
                <w:t>Whiteboard</w:t>
              </w:r>
              <w:r w:rsidRPr="00283C31">
                <w:rPr>
                  <w:rStyle w:val="Hyperlink"/>
                </w:rPr>
                <w:t xml:space="preserve"> </w:t>
              </w:r>
              <w:r w:rsidRPr="00283C31">
                <w:rPr>
                  <w:rStyle w:val="Hyperlink"/>
                </w:rPr>
                <w:t>HD</w:t>
              </w:r>
            </w:hyperlink>
          </w:p>
        </w:tc>
        <w:tc>
          <w:tcPr>
            <w:tcW w:w="3600" w:type="dxa"/>
          </w:tcPr>
          <w:p w:rsidR="00F97F57" w:rsidRPr="00CB3750" w:rsidRDefault="00283C31">
            <w:proofErr w:type="spellStart"/>
            <w:r>
              <w:t>GreenGar</w:t>
            </w:r>
            <w:proofErr w:type="spellEnd"/>
            <w:r>
              <w:t xml:space="preserve"> Studios</w:t>
            </w:r>
          </w:p>
        </w:tc>
        <w:tc>
          <w:tcPr>
            <w:tcW w:w="990" w:type="dxa"/>
          </w:tcPr>
          <w:p w:rsidR="00F97F57" w:rsidRPr="00CB3750" w:rsidRDefault="00283C31"/>
        </w:tc>
        <w:tc>
          <w:tcPr>
            <w:tcW w:w="4698" w:type="dxa"/>
          </w:tcPr>
          <w:p w:rsidR="00F97F57" w:rsidRPr="00CB3750" w:rsidRDefault="00283C31">
            <w:r>
              <w:t xml:space="preserve">Virtual Whiteboard with many colors, eraser, and layers.  Can be exported to </w:t>
            </w:r>
            <w:proofErr w:type="spellStart"/>
            <w:r>
              <w:t>facebook</w:t>
            </w:r>
            <w:proofErr w:type="spellEnd"/>
            <w:r>
              <w:t xml:space="preserve"> and email. Photos can be imported</w:t>
            </w:r>
          </w:p>
        </w:tc>
      </w:tr>
      <w:tr w:rsidR="00F97F57" w:rsidRPr="00CB3750">
        <w:tc>
          <w:tcPr>
            <w:tcW w:w="948" w:type="dxa"/>
          </w:tcPr>
          <w:p w:rsidR="00F97F57" w:rsidRPr="00CB3750" w:rsidRDefault="00283C31" w:rsidP="00F97F57">
            <w:pPr>
              <w:jc w:val="center"/>
              <w:rPr>
                <w:rFonts w:ascii="Arial" w:hAnsi="Arial"/>
                <w:sz w:val="28"/>
              </w:rPr>
            </w:pPr>
            <w:r w:rsidRPr="00CB3750">
              <w:rPr>
                <w:rFonts w:ascii="Arial" w:hAnsi="Arial"/>
                <w:sz w:val="28"/>
              </w:rPr>
              <w:t>5</w:t>
            </w:r>
          </w:p>
          <w:p w:rsidR="00F97F57" w:rsidRPr="00CB3750" w:rsidRDefault="00283C31" w:rsidP="00F97F57">
            <w:pPr>
              <w:jc w:val="center"/>
              <w:rPr>
                <w:sz w:val="28"/>
              </w:rPr>
            </w:pPr>
          </w:p>
        </w:tc>
        <w:tc>
          <w:tcPr>
            <w:tcW w:w="2940" w:type="dxa"/>
          </w:tcPr>
          <w:p w:rsidR="00F97F57" w:rsidRPr="00CB3750" w:rsidRDefault="00283C31">
            <w:hyperlink r:id="rId8" w:history="1">
              <w:r w:rsidRPr="00283C31">
                <w:rPr>
                  <w:rStyle w:val="Hyperlink"/>
                </w:rPr>
                <w:t>Frog D</w:t>
              </w:r>
              <w:r w:rsidRPr="00283C31">
                <w:rPr>
                  <w:rStyle w:val="Hyperlink"/>
                </w:rPr>
                <w:t>i</w:t>
              </w:r>
              <w:r w:rsidRPr="00283C31">
                <w:rPr>
                  <w:rStyle w:val="Hyperlink"/>
                </w:rPr>
                <w:t>ss</w:t>
              </w:r>
              <w:r w:rsidRPr="00283C31">
                <w:rPr>
                  <w:rStyle w:val="Hyperlink"/>
                </w:rPr>
                <w:t>e</w:t>
              </w:r>
              <w:r w:rsidRPr="00283C31">
                <w:rPr>
                  <w:rStyle w:val="Hyperlink"/>
                </w:rPr>
                <w:t>ction</w:t>
              </w:r>
            </w:hyperlink>
          </w:p>
        </w:tc>
        <w:tc>
          <w:tcPr>
            <w:tcW w:w="3600" w:type="dxa"/>
          </w:tcPr>
          <w:p w:rsidR="00F97F57" w:rsidRPr="00CB3750" w:rsidRDefault="00283C31">
            <w:proofErr w:type="spellStart"/>
            <w:r>
              <w:t>Emantras</w:t>
            </w:r>
            <w:proofErr w:type="spellEnd"/>
            <w:r>
              <w:t xml:space="preserve"> Inc.</w:t>
            </w:r>
          </w:p>
        </w:tc>
        <w:tc>
          <w:tcPr>
            <w:tcW w:w="990" w:type="dxa"/>
          </w:tcPr>
          <w:p w:rsidR="00F97F57" w:rsidRPr="00CB3750" w:rsidRDefault="00283C31">
            <w:r>
              <w:t>$3.99</w:t>
            </w:r>
          </w:p>
        </w:tc>
        <w:tc>
          <w:tcPr>
            <w:tcW w:w="4698" w:type="dxa"/>
          </w:tcPr>
          <w:p w:rsidR="00F97F57" w:rsidRPr="00CB3750" w:rsidRDefault="00283C31">
            <w:r>
              <w:t>Virtual Frog Dissection using tools.  Follow the direction as you dissect the frog.  Tap on the organs to learn about them and see them close up; rotate them 180-360 degrees. Audio and visual prompting including written and aural directions. Has quizzes, videos, learn about the frog lifecycle.</w:t>
            </w:r>
          </w:p>
        </w:tc>
      </w:tr>
      <w:tr w:rsidR="00F97F57" w:rsidRPr="00CB3750">
        <w:tc>
          <w:tcPr>
            <w:tcW w:w="948" w:type="dxa"/>
          </w:tcPr>
          <w:p w:rsidR="00F97F57" w:rsidRPr="00CB3750" w:rsidRDefault="00283C31" w:rsidP="00F97F57">
            <w:pPr>
              <w:jc w:val="center"/>
              <w:rPr>
                <w:rFonts w:ascii="Arial" w:hAnsi="Arial"/>
                <w:sz w:val="28"/>
              </w:rPr>
            </w:pPr>
            <w:r w:rsidRPr="00CB3750">
              <w:rPr>
                <w:rFonts w:ascii="Arial" w:hAnsi="Arial"/>
                <w:sz w:val="28"/>
              </w:rPr>
              <w:lastRenderedPageBreak/>
              <w:t>6</w:t>
            </w:r>
          </w:p>
          <w:p w:rsidR="00F97F57" w:rsidRPr="00CB3750" w:rsidRDefault="00283C31" w:rsidP="00F97F57">
            <w:pPr>
              <w:jc w:val="center"/>
              <w:rPr>
                <w:sz w:val="28"/>
              </w:rPr>
            </w:pPr>
          </w:p>
        </w:tc>
        <w:tc>
          <w:tcPr>
            <w:tcW w:w="2940" w:type="dxa"/>
          </w:tcPr>
          <w:p w:rsidR="00F97F57" w:rsidRPr="00CB3750" w:rsidRDefault="00283C31">
            <w:hyperlink r:id="rId9" w:history="1">
              <w:r w:rsidRPr="00283C31">
                <w:rPr>
                  <w:rStyle w:val="Hyperlink"/>
                </w:rPr>
                <w:t>Social Skill Builder</w:t>
              </w:r>
            </w:hyperlink>
          </w:p>
        </w:tc>
        <w:tc>
          <w:tcPr>
            <w:tcW w:w="3600" w:type="dxa"/>
          </w:tcPr>
          <w:p w:rsidR="00F97F57" w:rsidRPr="00CB3750" w:rsidRDefault="00283C31" w:rsidP="00283C31">
            <w:r>
              <w:t>Quality Learning Tools</w:t>
            </w:r>
          </w:p>
        </w:tc>
        <w:tc>
          <w:tcPr>
            <w:tcW w:w="990" w:type="dxa"/>
          </w:tcPr>
          <w:p w:rsidR="00F97F57" w:rsidRPr="00CB3750" w:rsidRDefault="00283C31">
            <w:r>
              <w:t>Free (w/in-app purchases)</w:t>
            </w:r>
          </w:p>
        </w:tc>
        <w:tc>
          <w:tcPr>
            <w:tcW w:w="4698" w:type="dxa"/>
          </w:tcPr>
          <w:p w:rsidR="00F97F57" w:rsidRPr="00CB3750" w:rsidRDefault="00283C31" w:rsidP="00283C31">
            <w:r>
              <w:t xml:space="preserve">Presents each user with many social situations in school or in the community.  Shows video of the situation, asks questions about it-either modeling “correct” or “incorrect” interactions; has </w:t>
            </w:r>
            <w:proofErr w:type="spellStart"/>
            <w:r>
              <w:t>reinforcers</w:t>
            </w:r>
            <w:proofErr w:type="spellEnd"/>
            <w:r>
              <w:t xml:space="preserve">. </w:t>
            </w:r>
          </w:p>
        </w:tc>
      </w:tr>
      <w:tr w:rsidR="00F97F57" w:rsidRPr="00CB3750">
        <w:tc>
          <w:tcPr>
            <w:tcW w:w="948" w:type="dxa"/>
          </w:tcPr>
          <w:p w:rsidR="00F97F57" w:rsidRPr="00CB3750" w:rsidRDefault="00283C31" w:rsidP="00F97F57">
            <w:pPr>
              <w:jc w:val="center"/>
              <w:rPr>
                <w:rFonts w:ascii="Arial" w:hAnsi="Arial"/>
                <w:sz w:val="28"/>
              </w:rPr>
            </w:pPr>
            <w:r w:rsidRPr="00CB3750">
              <w:rPr>
                <w:rFonts w:ascii="Arial" w:hAnsi="Arial"/>
                <w:sz w:val="28"/>
              </w:rPr>
              <w:t>7</w:t>
            </w:r>
          </w:p>
          <w:p w:rsidR="00F97F57" w:rsidRPr="00CB3750" w:rsidRDefault="00283C31" w:rsidP="00F97F57">
            <w:pPr>
              <w:jc w:val="center"/>
              <w:rPr>
                <w:sz w:val="28"/>
              </w:rPr>
            </w:pPr>
          </w:p>
        </w:tc>
        <w:tc>
          <w:tcPr>
            <w:tcW w:w="2940" w:type="dxa"/>
          </w:tcPr>
          <w:p w:rsidR="00F97F57" w:rsidRPr="00CB3750" w:rsidRDefault="00283C31">
            <w:hyperlink r:id="rId10" w:history="1">
              <w:r w:rsidRPr="00283C31">
                <w:rPr>
                  <w:rStyle w:val="Hyperlink"/>
                </w:rPr>
                <w:t>Predictable</w:t>
              </w:r>
            </w:hyperlink>
            <w:r>
              <w:t xml:space="preserve"> </w:t>
            </w:r>
          </w:p>
        </w:tc>
        <w:tc>
          <w:tcPr>
            <w:tcW w:w="3600" w:type="dxa"/>
          </w:tcPr>
          <w:p w:rsidR="00F97F57" w:rsidRPr="00CB3750" w:rsidRDefault="00283C31">
            <w:proofErr w:type="spellStart"/>
            <w:r>
              <w:t>Tbox</w:t>
            </w:r>
            <w:proofErr w:type="spellEnd"/>
            <w:r>
              <w:t xml:space="preserve"> Apps</w:t>
            </w:r>
          </w:p>
        </w:tc>
        <w:tc>
          <w:tcPr>
            <w:tcW w:w="990" w:type="dxa"/>
          </w:tcPr>
          <w:p w:rsidR="00F97F57" w:rsidRPr="00CB3750" w:rsidRDefault="00283C31">
            <w:r>
              <w:t>$159.99</w:t>
            </w:r>
          </w:p>
        </w:tc>
        <w:tc>
          <w:tcPr>
            <w:tcW w:w="4698" w:type="dxa"/>
          </w:tcPr>
          <w:p w:rsidR="00F97F57" w:rsidRPr="00CB3750" w:rsidRDefault="00283C31" w:rsidP="00283C31">
            <w:r>
              <w:t xml:space="preserve">AAC app with word prediction and switch access. </w:t>
            </w:r>
            <w:proofErr w:type="gramStart"/>
            <w:r>
              <w:t>Has editable phrases</w:t>
            </w:r>
            <w:proofErr w:type="gramEnd"/>
            <w:r>
              <w:t xml:space="preserve"> by category.  Can use twitter, FB, and email. Can change pronunciation of words &amp; has 9 voices.  Has backup.</w:t>
            </w:r>
          </w:p>
        </w:tc>
      </w:tr>
    </w:tbl>
    <w:p w:rsidR="00F97F57" w:rsidRPr="00CB3750" w:rsidRDefault="00283C31">
      <w:pPr>
        <w:rPr>
          <w:rFonts w:ascii="Arial" w:hAnsi="Arial"/>
        </w:rPr>
      </w:pPr>
    </w:p>
    <w:p w:rsidR="00F97F57" w:rsidRPr="00CB3750" w:rsidRDefault="00283C31">
      <w:pPr>
        <w:rPr>
          <w:rFonts w:ascii="Arial" w:hAnsi="Arial"/>
        </w:rPr>
      </w:pPr>
    </w:p>
    <w:p w:rsidR="00F97F57" w:rsidRPr="00CB3750" w:rsidRDefault="00283C31">
      <w:pPr>
        <w:rPr>
          <w:rFonts w:ascii="Arial" w:hAnsi="Arial"/>
        </w:rPr>
      </w:pPr>
    </w:p>
    <w:p w:rsidR="00F97F57" w:rsidRPr="00EA6EE3" w:rsidRDefault="00283C31" w:rsidP="00F97F57">
      <w:pPr>
        <w:jc w:val="center"/>
        <w:rPr>
          <w:rFonts w:ascii="Arial" w:hAnsi="Arial"/>
          <w:sz w:val="36"/>
        </w:rPr>
      </w:pPr>
    </w:p>
    <w:sectPr w:rsidR="00F97F57" w:rsidRPr="00EA6EE3" w:rsidSect="00F97F57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A1970"/>
    <w:rsid w:val="0028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B3750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83C3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3C3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unes.apple.com/us/app/frog-dissection/id377626675?mt=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tunes.apple.com/us/app/whiteboard-hd-internet-collaboration/id364739445?mt=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unes.apple.com/us/app/lets-name-things-fun-deck/id454450994?mt=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tunes.apple.com/us/app/grillmeister/id327380921?mt=8" TargetMode="External"/><Relationship Id="rId10" Type="http://schemas.openxmlformats.org/officeDocument/2006/relationships/hyperlink" Target="http://itunes.apple.com/us/app/predictable/id404445007?mt=8" TargetMode="External"/><Relationship Id="rId4" Type="http://schemas.openxmlformats.org/officeDocument/2006/relationships/hyperlink" Target="http://itunes.apple.com/us/app/slide-2-unlock/id412790296?mt=8" TargetMode="External"/><Relationship Id="rId9" Type="http://schemas.openxmlformats.org/officeDocument/2006/relationships/hyperlink" Target="http://itunes.apple.com/us/app/social-skill-builder/id486116417?mt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Mobile Apps Reviews</vt:lpstr>
    </vt:vector>
  </TitlesOfParts>
  <Company>Microsoft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Apps Reviews</dc:title>
  <dc:creator>Madalaine Pugliese</dc:creator>
  <cp:lastModifiedBy>Simmons AssistTech</cp:lastModifiedBy>
  <cp:revision>2</cp:revision>
  <cp:lastPrinted>2011-04-23T15:01:00Z</cp:lastPrinted>
  <dcterms:created xsi:type="dcterms:W3CDTF">2012-10-07T14:40:00Z</dcterms:created>
  <dcterms:modified xsi:type="dcterms:W3CDTF">2012-10-07T14:40:00Z</dcterms:modified>
</cp:coreProperties>
</file>